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i w:val="0"/>
          <w:iCs w:val="0"/>
          <w:color w:val="000000" w:themeColor="text1"/>
          <w:kern w:val="0"/>
          <w:sz w:val="44"/>
          <w:szCs w:val="44"/>
          <w:u w:val="none"/>
          <w:lang w:val="en-US" w:eastAsia="zh-CN" w:bidi="ar"/>
          <w14:textFill>
            <w14:solidFill>
              <w14:schemeClr w14:val="tx1"/>
            </w14:solidFill>
          </w14:textFill>
        </w:rPr>
        <w:t>企业上市合法合规信息核查</w:t>
      </w:r>
      <w:r>
        <w:rPr>
          <w:rFonts w:hint="eastAsia" w:ascii="方正小标宋简体" w:hAnsi="方正小标宋简体" w:eastAsia="方正小标宋简体" w:cs="方正小标宋简体"/>
          <w:sz w:val="44"/>
          <w:szCs w:val="44"/>
          <w:lang w:val="en-US" w:eastAsia="zh-CN"/>
        </w:rPr>
        <w:t>“一件事”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业务申办流程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业务申请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1.线上申请。</w:t>
      </w:r>
      <w:r>
        <w:rPr>
          <w:rFonts w:hint="eastAsia" w:ascii="仿宋_GB2312" w:hAnsi="仿宋_GB2312" w:eastAsia="仿宋_GB2312" w:cs="仿宋_GB2312"/>
          <w:sz w:val="32"/>
          <w:szCs w:val="32"/>
          <w:lang w:val="en-US" w:eastAsia="zh-CN"/>
        </w:rPr>
        <w:t>申请人登录贵州政务服务网（申请端）——进入“企业上市合法合规信息核查一件事”栏目——点击业务办理——填写申请信息（系统自动生成申请表）——根据选择的事项在线上传申请材料——点击提交。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楷体_GB2312" w:hAnsi="楷体_GB2312" w:eastAsia="楷体_GB2312" w:cs="楷体_GB2312"/>
          <w:sz w:val="32"/>
          <w:szCs w:val="32"/>
          <w:lang w:val="en-US" w:eastAsia="zh-CN"/>
        </w:rPr>
        <w:t>2.窗口申请。</w:t>
      </w:r>
      <w:r>
        <w:rPr>
          <w:rFonts w:hint="eastAsia" w:ascii="仿宋_GB2312" w:hAnsi="仿宋_GB2312" w:eastAsia="仿宋_GB2312" w:cs="仿宋_GB2312"/>
          <w:sz w:val="32"/>
          <w:szCs w:val="32"/>
          <w:lang w:val="en-US" w:eastAsia="zh-CN"/>
        </w:rPr>
        <w:t>申请人到法人综合窗口提出申请——填写申请表——对应办理事项提供材料（验原件收复印件）——法人综合窗口人员登录贵州政务服务网（审批端）企业上市合法合规信息核查“一件事”业务受理栏目——录入申请表信息和选择联办部门——上传材料（纸质材料电子化转换）——点击提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二、业务办理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住房城乡建设部门、自然资源部门、人力资源社会保障部门、生态环境部门、市场监管部门、卫生健康部门、文化和旅游部门、应急管理部门、科技部门、交通运输部门、税务部门、水利部门、消防救援部门、通信管理部门。</w:t>
      </w:r>
      <w:r>
        <w:rPr>
          <w:rFonts w:hint="eastAsia" w:ascii="仿宋_GB2312" w:hAnsi="仿宋_GB2312" w:eastAsia="仿宋_GB2312" w:cs="仿宋_GB2312"/>
          <w:sz w:val="32"/>
          <w:szCs w:val="32"/>
          <w:lang w:val="en-US" w:eastAsia="zh-CN"/>
        </w:rPr>
        <w:t>贵州政务服务网推送申请信息到联办部门——部门登录自建业务系统获取申请信息——查看或下载电子材料——点击受理（审核无误后）。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住房城乡建设部门、自然资源部门、人力资源社会保障部门、生态环境部门、市场监管部门、卫生健康部门、文化和旅游部门、应急管理部门、科技部门、交通运输部门、税务部门、水利部门、消防救援部门、通信管理部门。</w:t>
      </w:r>
      <w:r>
        <w:rPr>
          <w:rFonts w:hint="eastAsia" w:ascii="仿宋_GB2312" w:hAnsi="仿宋_GB2312" w:eastAsia="仿宋_GB2312" w:cs="仿宋_GB2312"/>
          <w:sz w:val="32"/>
          <w:szCs w:val="32"/>
          <w:lang w:val="en-US" w:eastAsia="zh-CN"/>
        </w:rPr>
        <w:t>贵州政务服务网推送申请信息到联办部门——部门办理人员登录贵州政务网（审批端）——查看待办件申请信息——查看或下载电子材料——点击受理（审核无误后）——部门登录自建业务系统办理业务或线下直接办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三、结果反馈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住房城乡建设部门、自然资源部门、人力资源社会保障部门、生态环境部门、市场监管部门、卫生健康部门、文化和旅游部门、应急管理部门、科技部门、交通运输部门、税务部门、水利部门、消防救援部门、通信管理部门。</w:t>
      </w:r>
      <w:r>
        <w:rPr>
          <w:rFonts w:hint="eastAsia" w:ascii="仿宋_GB2312" w:hAnsi="仿宋_GB2312" w:eastAsia="仿宋_GB2312" w:cs="仿宋_GB2312"/>
          <w:sz w:val="32"/>
          <w:szCs w:val="32"/>
          <w:lang w:val="en-US" w:eastAsia="zh-CN"/>
        </w:rPr>
        <w:t>部门通过自建业务系统查询形成办理结果——在各部门办理时限内回传结果至贵州政务服务网并点击办结——法人综合窗口人员下载并打印结果——法人综合窗口人员根据申请人填写的结果送达方式选择邮寄送达或通知申请人到窗统一领取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住房城乡建设部门、自然资源部门、人力资源社会保障部门、生态环境部门、市场监管部门、卫生健康部门、文化和旅游部门、应急管理部门、科技部门、交通运输部门、税务部门、水利部门、消防救援部门、通信管理部门。</w:t>
      </w:r>
      <w:r>
        <w:rPr>
          <w:rFonts w:hint="eastAsia" w:ascii="仿宋_GB2312" w:hAnsi="仿宋_GB2312" w:eastAsia="仿宋_GB2312" w:cs="仿宋_GB2312"/>
          <w:sz w:val="32"/>
          <w:szCs w:val="32"/>
          <w:lang w:val="en-US" w:eastAsia="zh-CN"/>
        </w:rPr>
        <w:t>部门形成办理结果——各部门在办理时限内线下将结果反馈到法人</w:t>
      </w:r>
      <w:r>
        <w:rPr>
          <w:rFonts w:hint="eastAsia" w:ascii="仿宋_GB2312" w:hAnsi="仿宋_GB2312" w:eastAsia="仿宋_GB2312" w:cs="仿宋_GB2312"/>
          <w:sz w:val="32"/>
          <w:szCs w:val="32"/>
          <w:highlight w:val="none"/>
          <w:lang w:val="en-US" w:eastAsia="zh-CN"/>
        </w:rPr>
        <w:t>综合窗口</w:t>
      </w:r>
      <w:r>
        <w:rPr>
          <w:rFonts w:hint="eastAsia" w:ascii="仿宋_GB2312" w:hAnsi="仿宋_GB2312" w:eastAsia="仿宋_GB2312" w:cs="仿宋_GB2312"/>
          <w:color w:val="auto"/>
          <w:sz w:val="32"/>
          <w:szCs w:val="32"/>
          <w:highlight w:val="none"/>
          <w:lang w:val="en-US" w:eastAsia="zh-CN"/>
        </w:rPr>
        <w:t>（部门根据结果涉密涉敏情况决定反馈形式；明确综合窗口人员接收和保存结果的方式）</w:t>
      </w:r>
      <w:r>
        <w:rPr>
          <w:rFonts w:hint="eastAsia" w:ascii="仿宋_GB2312" w:hAnsi="仿宋_GB2312" w:eastAsia="仿宋_GB2312" w:cs="仿宋_GB2312"/>
          <w:sz w:val="32"/>
          <w:szCs w:val="32"/>
          <w:highlight w:val="none"/>
          <w:lang w:val="en-US" w:eastAsia="zh-CN"/>
        </w:rPr>
        <w:t>——法人综合窗口人员根据申请人填写的结果送达方式选择邮寄送达或通知申请人到窗统一领取结果。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FE94B"/>
    <w:multiLevelType w:val="singleLevel"/>
    <w:tmpl w:val="D14FE9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ODNjMTE3MjQyYjM2YWZkZjYzNDBhYmUyYTYxZGYifQ=="/>
  </w:docVars>
  <w:rsids>
    <w:rsidRoot w:val="201621CB"/>
    <w:rsid w:val="0185729C"/>
    <w:rsid w:val="057379C3"/>
    <w:rsid w:val="0A7805B1"/>
    <w:rsid w:val="0F6A24C2"/>
    <w:rsid w:val="18536E9C"/>
    <w:rsid w:val="1C5C3C0C"/>
    <w:rsid w:val="201621CB"/>
    <w:rsid w:val="2BA20325"/>
    <w:rsid w:val="2D464970"/>
    <w:rsid w:val="306035B3"/>
    <w:rsid w:val="318167F2"/>
    <w:rsid w:val="32516026"/>
    <w:rsid w:val="328E35ED"/>
    <w:rsid w:val="36595D46"/>
    <w:rsid w:val="3E0D4D09"/>
    <w:rsid w:val="3EC765E7"/>
    <w:rsid w:val="437F6439"/>
    <w:rsid w:val="45485614"/>
    <w:rsid w:val="4C400959"/>
    <w:rsid w:val="540548DE"/>
    <w:rsid w:val="55B65718"/>
    <w:rsid w:val="56121B26"/>
    <w:rsid w:val="5CD677A6"/>
    <w:rsid w:val="696A5BC1"/>
    <w:rsid w:val="6E447033"/>
    <w:rsid w:val="741E320F"/>
    <w:rsid w:val="74415A9C"/>
    <w:rsid w:val="77922FF6"/>
    <w:rsid w:val="7D8F51B3"/>
    <w:rsid w:val="7DF78798"/>
    <w:rsid w:val="7E39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1033</Words>
  <Characters>1102</Characters>
  <Lines>0</Lines>
  <Paragraphs>0</Paragraphs>
  <TotalTime>3</TotalTime>
  <ScaleCrop>false</ScaleCrop>
  <LinksUpToDate>false</LinksUpToDate>
  <CharactersWithSpaces>1102</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2024-03-18T15:44:00Z</dcterms:created>
  <dc:creator>WPS_1558516205</dc:creator>
  <cp:lastModifiedBy>ysgz</cp:lastModifiedBy>
  <dcterms:modified xsi:type="dcterms:W3CDTF">2024-06-07T15:46:56Z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AF7B69814D3D423E95E32BA2927ABB40_13</vt:lpwstr>
  </property>
</Properties>
</file>