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before="0" w:after="0" w:line="240" w:lineRule="auto"/>
        <w:ind w:left="0" w:leftChars="0" w:right="0" w:firstLine="0" w:firstLine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碧江区物流配送终端及智慧物流数据中心建设项目</w:t>
      </w:r>
    </w:p>
    <w:p>
      <w:pPr>
        <w:spacing w:line="440" w:lineRule="exact"/>
        <w:rPr>
          <w:rFonts w:ascii="仿宋_GB2312" w:hAnsi="仿宋_GB2312" w:eastAsia="仿宋_GB2312" w:cs="仿宋_GB2312"/>
          <w:b/>
          <w:sz w:val="32"/>
          <w:szCs w:val="32"/>
        </w:rPr>
      </w:pP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b/>
          <w:sz w:val="32"/>
          <w:szCs w:val="32"/>
        </w:rPr>
        <w:t>项目概况</w:t>
      </w:r>
      <w:bookmarkStart w:id="0" w:name="_GoBack"/>
      <w:bookmarkEnd w:id="0"/>
    </w:p>
    <w:p>
      <w:pPr>
        <w:widowControl w:val="0"/>
        <w:numPr>
          <w:ilvl w:val="0"/>
          <w:numId w:val="1"/>
        </w:numPr>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b/>
          <w:sz w:val="32"/>
          <w:szCs w:val="32"/>
        </w:rPr>
        <w:t>项目选址</w:t>
      </w:r>
      <w:r>
        <w:rPr>
          <w:rFonts w:hint="eastAsia" w:ascii="仿宋_GB2312" w:hAnsi="仿宋_GB2312" w:eastAsia="仿宋_GB2312" w:cs="仿宋_GB2312"/>
          <w:sz w:val="32"/>
          <w:szCs w:val="32"/>
        </w:rPr>
        <w:t>：贵州碧江经济开发区</w:t>
      </w:r>
    </w:p>
    <w:p>
      <w:pPr>
        <w:widowControl w:val="0"/>
        <w:numPr>
          <w:ilvl w:val="0"/>
          <w:numId w:val="1"/>
        </w:numPr>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b/>
          <w:sz w:val="32"/>
          <w:szCs w:val="32"/>
        </w:rPr>
        <w:t>建设内容及规模：</w:t>
      </w:r>
      <w:r>
        <w:rPr>
          <w:rFonts w:hint="eastAsia" w:ascii="仿宋_GB2312" w:hAnsi="仿宋_GB2312" w:eastAsia="仿宋_GB2312" w:cs="仿宋_GB2312"/>
          <w:sz w:val="32"/>
          <w:szCs w:val="32"/>
        </w:rPr>
        <w:t>主要建设物流产业集团“智慧物流”数据中心；建立基于</w:t>
      </w:r>
      <w:r>
        <w:rPr>
          <w:rFonts w:ascii="仿宋_GB2312" w:hAnsi="仿宋_GB2312" w:eastAsia="仿宋_GB2312" w:cs="仿宋_GB2312"/>
          <w:sz w:val="32"/>
          <w:szCs w:val="32"/>
        </w:rPr>
        <w:t>Internet</w:t>
      </w:r>
      <w:r>
        <w:rPr>
          <w:rFonts w:hint="eastAsia" w:ascii="仿宋_GB2312" w:hAnsi="仿宋_GB2312" w:eastAsia="仿宋_GB2312" w:cs="仿宋_GB2312"/>
          <w:sz w:val="32"/>
          <w:szCs w:val="32"/>
        </w:rPr>
        <w:t>的公共物流信息平台；建立基于公共物流信息平台的电子商务系统；建立一支服务于物流园区及公共物流平台的物流系统咨询及管理团队等。</w:t>
      </w:r>
    </w:p>
    <w:p>
      <w:pPr>
        <w:widowControl w:val="0"/>
        <w:numPr>
          <w:ilvl w:val="0"/>
          <w:numId w:val="1"/>
        </w:numPr>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b/>
          <w:sz w:val="32"/>
          <w:szCs w:val="32"/>
        </w:rPr>
        <w:t>预计总投资</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8000</w:t>
      </w:r>
      <w:r>
        <w:rPr>
          <w:rFonts w:hint="eastAsia" w:ascii="仿宋_GB2312" w:hAnsi="仿宋_GB2312" w:eastAsia="仿宋_GB2312" w:cs="仿宋_GB2312"/>
          <w:sz w:val="32"/>
          <w:szCs w:val="32"/>
        </w:rPr>
        <w:t>万元。</w:t>
      </w:r>
    </w:p>
    <w:p>
      <w:pPr>
        <w:widowControl w:val="0"/>
        <w:numPr>
          <w:ilvl w:val="0"/>
          <w:numId w:val="1"/>
        </w:numPr>
        <w:wordWrap/>
        <w:adjustRightInd/>
        <w:snapToGrid/>
        <w:spacing w:before="0" w:after="0" w:line="240" w:lineRule="auto"/>
        <w:ind w:left="0" w:leftChars="0" w:right="0" w:firstLine="640" w:firstLineChars="200"/>
        <w:jc w:val="both"/>
        <w:textAlignment w:val="auto"/>
        <w:outlineLvl w:val="9"/>
        <w:rPr>
          <w:rFonts w:ascii="仿宋_GB2312" w:hAnsi="仿宋" w:eastAsia="仿宋_GB2312"/>
          <w:sz w:val="32"/>
          <w:szCs w:val="32"/>
        </w:rPr>
      </w:pPr>
      <w:r>
        <w:rPr>
          <w:rFonts w:hint="eastAsia" w:ascii="仿宋_GB2312" w:hAnsi="仿宋_GB2312" w:eastAsia="仿宋_GB2312" w:cs="仿宋_GB2312"/>
          <w:b/>
          <w:sz w:val="32"/>
          <w:szCs w:val="32"/>
        </w:rPr>
        <w:t>基本建设条件</w:t>
      </w:r>
      <w:r>
        <w:rPr>
          <w:rFonts w:hint="eastAsia" w:ascii="仿宋_GB2312" w:hAnsi="仿宋_GB2312" w:eastAsia="仿宋_GB2312" w:cs="仿宋_GB2312"/>
          <w:sz w:val="32"/>
          <w:szCs w:val="32"/>
        </w:rPr>
        <w:t>：</w:t>
      </w:r>
      <w:r>
        <w:rPr>
          <w:rFonts w:hint="eastAsia" w:ascii="仿宋_GB2312" w:hAnsi="仿宋" w:eastAsia="仿宋_GB2312"/>
          <w:sz w:val="32"/>
          <w:szCs w:val="32"/>
        </w:rPr>
        <w:t>开发区已经实现三通一平，选址符合开发区城市建设控制性规划、土地利用总体规划，不在国家政策规定不得开发的区域。项目所在地的交通区位良好、商业配套资源充足，可保障项目实施。</w:t>
      </w:r>
    </w:p>
    <w:p>
      <w:pPr>
        <w:widowControl w:val="0"/>
        <w:numPr>
          <w:ilvl w:val="0"/>
          <w:numId w:val="1"/>
        </w:numPr>
        <w:wordWrap/>
        <w:adjustRightInd/>
        <w:snapToGrid/>
        <w:spacing w:before="0" w:after="0" w:line="240" w:lineRule="auto"/>
        <w:ind w:left="0" w:leftChars="0" w:right="0" w:firstLine="640" w:firstLineChars="200"/>
        <w:jc w:val="both"/>
        <w:textAlignment w:val="auto"/>
        <w:outlineLvl w:val="9"/>
        <w:rPr>
          <w:rFonts w:ascii="仿宋_GB2312" w:hAnsi="仿宋" w:eastAsia="仿宋_GB2312"/>
          <w:sz w:val="32"/>
          <w:szCs w:val="32"/>
        </w:rPr>
      </w:pPr>
      <w:r>
        <w:rPr>
          <w:rFonts w:hint="eastAsia" w:ascii="仿宋_GB2312" w:hAnsi="仿宋" w:eastAsia="仿宋_GB2312"/>
          <w:b/>
          <w:sz w:val="32"/>
          <w:szCs w:val="32"/>
        </w:rPr>
        <w:t>预期经济效益：</w:t>
      </w:r>
      <w:r>
        <w:rPr>
          <w:rFonts w:hint="eastAsia" w:ascii="仿宋_GB2312" w:hAnsi="仿宋" w:eastAsia="仿宋_GB2312"/>
          <w:sz w:val="32"/>
          <w:szCs w:val="32"/>
        </w:rPr>
        <w:t>预计年产值</w:t>
      </w:r>
      <w:r>
        <w:rPr>
          <w:rFonts w:ascii="仿宋_GB2312" w:hAnsi="仿宋" w:eastAsia="仿宋_GB2312"/>
          <w:sz w:val="32"/>
          <w:szCs w:val="32"/>
        </w:rPr>
        <w:t>2</w:t>
      </w:r>
      <w:r>
        <w:rPr>
          <w:rFonts w:hint="eastAsia" w:ascii="仿宋_GB2312" w:hAnsi="仿宋" w:eastAsia="仿宋_GB2312"/>
          <w:sz w:val="32"/>
          <w:szCs w:val="32"/>
        </w:rPr>
        <w:t>亿元人民币，年利润</w:t>
      </w:r>
      <w:r>
        <w:rPr>
          <w:rFonts w:ascii="仿宋_GB2312" w:hAnsi="仿宋" w:eastAsia="仿宋_GB2312"/>
          <w:sz w:val="32"/>
          <w:szCs w:val="32"/>
        </w:rPr>
        <w:t>3000</w:t>
      </w:r>
      <w:r>
        <w:rPr>
          <w:rFonts w:hint="eastAsia" w:ascii="仿宋_GB2312" w:hAnsi="仿宋" w:eastAsia="仿宋_GB2312"/>
          <w:sz w:val="32"/>
          <w:szCs w:val="32"/>
        </w:rPr>
        <w:t>万元人民币，带动就业</w:t>
      </w:r>
      <w:r>
        <w:rPr>
          <w:rFonts w:ascii="仿宋_GB2312" w:hAnsi="仿宋" w:eastAsia="仿宋_GB2312"/>
          <w:sz w:val="32"/>
          <w:szCs w:val="32"/>
        </w:rPr>
        <w:t>100</w:t>
      </w:r>
      <w:r>
        <w:rPr>
          <w:rFonts w:hint="eastAsia" w:ascii="仿宋_GB2312" w:hAnsi="仿宋" w:eastAsia="仿宋_GB2312"/>
          <w:sz w:val="32"/>
          <w:szCs w:val="32"/>
        </w:rPr>
        <w:t>余人。</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 w:eastAsia="仿宋_GB2312"/>
          <w:b/>
          <w:sz w:val="32"/>
          <w:szCs w:val="32"/>
        </w:rPr>
      </w:pP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 w:eastAsia="仿宋_GB2312"/>
          <w:b/>
          <w:sz w:val="32"/>
          <w:szCs w:val="32"/>
        </w:rPr>
      </w:pP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 w:eastAsia="仿宋_GB2312"/>
          <w:b/>
          <w:sz w:val="32"/>
          <w:szCs w:val="32"/>
        </w:rPr>
      </w:pP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 w:eastAsia="仿宋_GB2312"/>
          <w:b/>
          <w:sz w:val="32"/>
          <w:szCs w:val="32"/>
        </w:rPr>
      </w:pPr>
      <w:r>
        <w:rPr>
          <w:rFonts w:hint="eastAsia" w:ascii="仿宋_GB2312" w:hAnsi="仿宋" w:eastAsia="仿宋_GB2312"/>
          <w:b/>
          <w:sz w:val="32"/>
          <w:szCs w:val="32"/>
        </w:rPr>
        <w:t>项目所在地</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 w:eastAsia="仿宋_GB2312"/>
          <w:sz w:val="32"/>
          <w:szCs w:val="32"/>
        </w:rPr>
      </w:pPr>
      <w:r>
        <w:rPr>
          <w:rFonts w:hint="eastAsia" w:ascii="仿宋_GB2312" w:hAnsi="仿宋" w:eastAsia="仿宋_GB2312"/>
          <w:sz w:val="32"/>
          <w:szCs w:val="32"/>
        </w:rPr>
        <w:t>贵州碧江经济开发区</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sz w:val="32"/>
          <w:szCs w:val="32"/>
        </w:rPr>
      </w:pP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b/>
          <w:sz w:val="32"/>
          <w:szCs w:val="32"/>
        </w:rPr>
      </w:pPr>
      <w:r>
        <w:rPr>
          <w:rFonts w:hint="eastAsia" w:ascii="仿宋_GB2312" w:hAnsi="仿宋_GB2312" w:eastAsia="仿宋_GB2312" w:cs="仿宋_GB2312"/>
          <w:b/>
          <w:sz w:val="32"/>
          <w:szCs w:val="32"/>
        </w:rPr>
        <w:t>联系方式</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联系人：杨俊</w:t>
      </w:r>
    </w:p>
    <w:p>
      <w:pPr>
        <w:widowControl w:val="0"/>
        <w:wordWrap/>
        <w:adjustRightInd/>
        <w:snapToGrid/>
        <w:spacing w:before="0" w:after="0" w:line="240" w:lineRule="auto"/>
        <w:ind w:left="0" w:leftChars="0" w:right="0" w:firstLine="640" w:firstLineChars="200"/>
        <w:jc w:val="both"/>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电</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话：</w:t>
      </w:r>
      <w:r>
        <w:rPr>
          <w:rFonts w:ascii="仿宋_GB2312" w:hAnsi="仿宋_GB2312" w:eastAsia="仿宋_GB2312" w:cs="仿宋_GB2312"/>
          <w:sz w:val="32"/>
          <w:szCs w:val="32"/>
        </w:rPr>
        <w:t>18008560991</w:t>
      </w:r>
    </w:p>
    <w:p>
      <w:pPr>
        <w:spacing w:line="440" w:lineRule="exact"/>
        <w:ind w:left="0" w:leftChars="0" w:firstLine="419" w:firstLineChars="131"/>
        <w:rPr>
          <w:rFonts w:ascii="仿宋_GB2312" w:hAnsi="仿宋_GB2312" w:eastAsia="仿宋_GB2312" w:cs="仿宋_GB2312"/>
          <w:sz w:val="32"/>
          <w:szCs w:val="32"/>
        </w:rPr>
      </w:pPr>
    </w:p>
    <w:sectPr>
      <w:pgSz w:w="11906" w:h="16838"/>
      <w:pgMar w:top="2098" w:right="1474" w:bottom="1984" w:left="1587" w:header="851" w:footer="992" w:gutter="0"/>
      <w:paperSrc w:first="0" w:other="0"/>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auto"/>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3455561">
    <w:nsid w:val="573A8F49"/>
    <w:multiLevelType w:val="singleLevel"/>
    <w:tmpl w:val="573A8F49"/>
    <w:lvl w:ilvl="0" w:tentative="1">
      <w:start w:val="1"/>
      <w:numFmt w:val="decimal"/>
      <w:suff w:val="nothing"/>
      <w:lvlText w:val="%1．"/>
      <w:lvlJc w:val="left"/>
      <w:pPr>
        <w:ind w:left="0" w:leftChars="0" w:firstLine="400" w:firstLineChars="0"/>
      </w:pPr>
      <w:rPr>
        <w:rFonts w:hint="default"/>
      </w:rPr>
    </w:lvl>
  </w:abstractNum>
  <w:num w:numId="1">
    <w:abstractNumId w:val="14634555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9"/>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unhideWhenUsed="0" w:uiPriority="99" w:name="Balloon Text"/>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99"/>
  </w:style>
  <w:style w:type="paragraph" w:styleId="2">
    <w:name w:val="Balloon Text"/>
    <w:basedOn w:val="1"/>
    <w:link w:val="4"/>
    <w:semiHidden/>
    <w:uiPriority w:val="99"/>
    <w:rPr>
      <w:sz w:val="18"/>
      <w:szCs w:val="18"/>
    </w:rPr>
  </w:style>
  <w:style w:type="character" w:customStyle="1" w:styleId="4">
    <w:name w:val="Balloon Text Char"/>
    <w:basedOn w:val="3"/>
    <w:link w:val="2"/>
    <w:semiHidden/>
    <w:qFormat/>
    <w:uiPriority w:val="99"/>
    <w:rPr>
      <w:sz w:val="16"/>
      <w:szCs w:val="16"/>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Pages>
  <Words>53</Words>
  <Characters>307</Characters>
  <Lines>0</Lines>
  <Paragraphs>0</Paragraphs>
  <ScaleCrop>false</ScaleCrop>
  <LinksUpToDate>false</LinksUpToDate>
  <CharactersWithSpaces>0</CharactersWithSpaces>
  <Application>WPS Office 专业版_9.1.0.4721_{F1E327BC-269C-435d-A152-05C5408002CA}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GYDKH</cp:lastModifiedBy>
  <cp:lastPrinted>2016-05-12T06:03:00Z</cp:lastPrinted>
  <dcterms:modified xsi:type="dcterms:W3CDTF">2016-05-20T06:55:56Z</dcterms:modified>
  <dc:title>碧江区物流配送终端及智慧物流数据中心建设项目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2052-9.1.0.4721</vt:lpwstr>
  </property>
</Properties>
</file>