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丹寨县精密仪器、仪表生产项目</w:t>
      </w: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ind w:left="0" w:leftChars="0" w:firstLine="640" w:firstLineChars="200"/>
        <w:rPr>
          <w:rFonts w:ascii="仿宋_GB2312" w:eastAsia="仿宋_GB2312"/>
          <w:b/>
          <w:sz w:val="32"/>
          <w:szCs w:val="32"/>
        </w:rPr>
      </w:pPr>
      <w:bookmarkStart w:id="0" w:name="_GoBack"/>
      <w:r>
        <w:rPr>
          <w:rFonts w:hint="eastAsia" w:ascii="仿宋_GB2312" w:eastAsia="仿宋_GB2312"/>
          <w:b/>
          <w:sz w:val="32"/>
          <w:szCs w:val="32"/>
        </w:rPr>
        <w:t>项目概况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:</w:t>
      </w:r>
    </w:p>
    <w:bookmarkEnd w:id="0"/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5" w:leftChars="0" w:right="0" w:firstLine="635" w:firstLineChars="0"/>
        <w:jc w:val="both"/>
        <w:textAlignment w:val="auto"/>
        <w:outlineLvl w:val="9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项目选址：</w:t>
      </w:r>
      <w:r>
        <w:rPr>
          <w:rFonts w:hint="eastAsia" w:ascii="仿宋_GB2312" w:hAnsi="仿宋" w:eastAsia="仿宋_GB2312"/>
          <w:sz w:val="32"/>
          <w:szCs w:val="32"/>
        </w:rPr>
        <w:t>贵州省丹寨金钟经济开发区</w:t>
      </w:r>
    </w:p>
    <w:p>
      <w:pPr>
        <w:widowControl w:val="0"/>
        <w:numPr>
          <w:ilvl w:val="0"/>
          <w:numId w:val="1"/>
        </w:numPr>
        <w:tabs>
          <w:tab w:val="left" w:pos="0"/>
          <w:tab w:val="clear" w:pos="425"/>
        </w:tabs>
        <w:wordWrap/>
        <w:adjustRightInd/>
        <w:snapToGrid/>
        <w:spacing w:before="0" w:after="0" w:line="240" w:lineRule="auto"/>
        <w:ind w:left="5" w:leftChars="0" w:right="0" w:firstLine="635" w:firstLineChars="0"/>
        <w:jc w:val="both"/>
        <w:textAlignment w:val="auto"/>
        <w:outlineLvl w:val="9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建设内容：</w:t>
      </w:r>
      <w:r>
        <w:rPr>
          <w:rFonts w:hint="eastAsia" w:ascii="仿宋_GB2312" w:hAnsi="仿宋" w:eastAsia="仿宋_GB2312"/>
          <w:sz w:val="32"/>
          <w:szCs w:val="32"/>
        </w:rPr>
        <w:t>该项目租用丹寨金钟经济开发区开发区内的标准厂房建设生产，建设阀岛及总线系统、气源处理装置、管接头及附件、传感器及压力开关、气动控制、电子控制技术等研发生产为一体的制造基地，年产</w:t>
      </w:r>
      <w:r>
        <w:rPr>
          <w:rFonts w:ascii="仿宋_GB2312" w:hAnsi="仿宋" w:eastAsia="仿宋_GB2312"/>
          <w:sz w:val="32"/>
          <w:szCs w:val="32"/>
        </w:rPr>
        <w:t>4000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5" w:leftChars="0" w:right="0" w:firstLine="635" w:firstLineChars="0"/>
        <w:jc w:val="both"/>
        <w:textAlignment w:val="auto"/>
        <w:outlineLvl w:val="9"/>
        <w:rPr>
          <w:rFonts w:ascii="仿宋_GB2312" w:hAnsi="Arial" w:eastAsia="仿宋_GB2312" w:cs="Arial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b/>
          <w:bCs/>
          <w:sz w:val="32"/>
          <w:szCs w:val="32"/>
          <w:shd w:val="clear" w:color="auto" w:fill="FFFFFF"/>
        </w:rPr>
        <w:t>预计总投资：</w:t>
      </w:r>
      <w:r>
        <w:rPr>
          <w:rFonts w:ascii="仿宋_GB2312" w:hAnsi="Arial" w:eastAsia="仿宋_GB2312" w:cs="Arial"/>
          <w:sz w:val="32"/>
          <w:szCs w:val="32"/>
          <w:shd w:val="clear" w:color="auto" w:fill="FFFFFF"/>
        </w:rPr>
        <w:t>5000</w:t>
      </w:r>
      <w:r>
        <w:rPr>
          <w:rFonts w:hint="eastAsia" w:ascii="仿宋_GB2312" w:hAnsi="Arial" w:eastAsia="仿宋_GB2312" w:cs="Arial"/>
          <w:sz w:val="32"/>
          <w:szCs w:val="32"/>
          <w:shd w:val="clear" w:color="auto" w:fill="FFFFFF"/>
        </w:rPr>
        <w:t>万元</w:t>
      </w:r>
    </w:p>
    <w:p>
      <w:pPr>
        <w:pStyle w:val="4"/>
        <w:widowControl w:val="0"/>
        <w:numPr>
          <w:ilvl w:val="0"/>
          <w:numId w:val="1"/>
        </w:numPr>
        <w:tabs>
          <w:tab w:val="left" w:pos="0"/>
          <w:tab w:val="clear" w:pos="425"/>
        </w:tabs>
        <w:wordWrap/>
        <w:adjustRightInd/>
        <w:snapToGrid/>
        <w:spacing w:before="0" w:after="0" w:line="240" w:lineRule="auto"/>
        <w:ind w:left="5" w:leftChars="0" w:right="0" w:firstLine="635" w:firstLineChars="0"/>
        <w:jc w:val="both"/>
        <w:textAlignment w:val="auto"/>
        <w:outlineLvl w:val="9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b/>
          <w:bCs/>
          <w:sz w:val="32"/>
          <w:szCs w:val="32"/>
          <w:shd w:val="clear" w:color="auto" w:fill="FFFFFF"/>
        </w:rPr>
        <w:t>建设基本条件：</w:t>
      </w:r>
      <w:r>
        <w:rPr>
          <w:rFonts w:hint="eastAsia" w:ascii="仿宋_GB2312" w:hAnsi="仿宋" w:eastAsia="仿宋_GB2312"/>
          <w:sz w:val="32"/>
          <w:szCs w:val="32"/>
        </w:rPr>
        <w:t>丹寨县金钟经济开发区交通便利。制造产业已形成一定规模园区境内已驻有年产</w:t>
      </w:r>
      <w:r>
        <w:rPr>
          <w:rFonts w:ascii="仿宋_GB2312" w:hAnsi="仿宋" w:eastAsia="仿宋_GB2312"/>
          <w:sz w:val="32"/>
          <w:szCs w:val="32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万吨的铁铸机件的黔顺铸件公司、年产</w:t>
      </w:r>
      <w:r>
        <w:rPr>
          <w:rFonts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万吨的铁铸机电的真山机电公司、年产</w:t>
      </w:r>
      <w:r>
        <w:rPr>
          <w:rFonts w:ascii="仿宋_GB2312" w:hAnsi="仿宋" w:eastAsia="仿宋_GB2312"/>
          <w:sz w:val="32"/>
          <w:szCs w:val="32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万吨的九鼎钢结构公司、年产</w:t>
      </w:r>
      <w:r>
        <w:rPr>
          <w:rFonts w:ascii="仿宋_GB2312" w:hAnsi="仿宋" w:eastAsia="仿宋_GB2312"/>
          <w:sz w:val="32"/>
          <w:szCs w:val="32"/>
        </w:rPr>
        <w:t>1700</w:t>
      </w:r>
      <w:r>
        <w:rPr>
          <w:rFonts w:hint="eastAsia" w:ascii="仿宋_GB2312" w:hAnsi="仿宋" w:eastAsia="仿宋_GB2312"/>
          <w:sz w:val="32"/>
          <w:szCs w:val="32"/>
        </w:rPr>
        <w:t>台精密机床的兴富祥公司、贵州明成变压器有限公司等装备制造工业已在生产。</w:t>
      </w:r>
    </w:p>
    <w:p>
      <w:pPr>
        <w:ind w:left="5" w:leftChars="0" w:firstLine="635" w:firstLineChars="0"/>
        <w:rPr>
          <w:rFonts w:ascii="仿宋_GB2312" w:hAnsi="仿宋" w:eastAsia="仿宋_GB2312"/>
          <w:sz w:val="32"/>
          <w:szCs w:val="32"/>
        </w:rPr>
      </w:pPr>
    </w:p>
    <w:p>
      <w:pPr>
        <w:ind w:left="5" w:leftChars="0" w:firstLine="635" w:firstLineChars="0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项目所在地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:</w:t>
      </w:r>
    </w:p>
    <w:p>
      <w:pPr>
        <w:ind w:left="5" w:leftChars="0" w:firstLine="635" w:firstLineChars="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丹寨县</w:t>
      </w:r>
    </w:p>
    <w:p>
      <w:pPr>
        <w:ind w:left="5" w:leftChars="0" w:firstLine="635" w:firstLineChars="0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联系方式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:</w:t>
      </w:r>
    </w:p>
    <w:p>
      <w:pPr>
        <w:ind w:left="5" w:leftChars="0" w:firstLine="635" w:firstLineChars="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联系人：陈红鑫</w:t>
      </w:r>
    </w:p>
    <w:p>
      <w:pPr>
        <w:ind w:left="5" w:leftChars="0" w:firstLine="635" w:firstLineChars="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联系电话：</w:t>
      </w:r>
      <w:r>
        <w:rPr>
          <w:rFonts w:ascii="仿宋_GB2312" w:hAnsi="仿宋" w:eastAsia="仿宋_GB2312"/>
          <w:sz w:val="32"/>
          <w:szCs w:val="32"/>
        </w:rPr>
        <w:t>0855-3695381</w:t>
      </w:r>
    </w:p>
    <w:sectPr>
      <w:pgSz w:w="11906" w:h="16838"/>
      <w:pgMar w:top="2098" w:right="1474" w:bottom="1984" w:left="1587" w:header="851" w:footer="992" w:gutter="0"/>
      <w:paperSrc w:first="0" w:other="0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3452512">
    <w:nsid w:val="573A8360"/>
    <w:multiLevelType w:val="singleLevel"/>
    <w:tmpl w:val="573A8360"/>
    <w:lvl w:ilvl="0" w:tentative="1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14634525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character" w:styleId="3">
    <w:name w:val="Hyperlink"/>
    <w:basedOn w:val="2"/>
    <w:semiHidden/>
    <w:uiPriority w:val="99"/>
    <w:rPr>
      <w:rFonts w:cs="Times New Roman"/>
      <w:color w:val="0000FF"/>
      <w:u w:val="single"/>
    </w:r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50</Words>
  <Characters>287</Characters>
  <Lines>0</Lines>
  <Paragraphs>0</Paragraphs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2016-05-13T05:02:00Z</dcterms:created>
  <dc:creator>Microsoft</dc:creator>
  <cp:lastModifiedBy>GYDKH</cp:lastModifiedBy>
  <cp:lastPrinted>2016-05-13T02:16:00Z</cp:lastPrinted>
  <dcterms:modified xsi:type="dcterms:W3CDTF">2016-05-20T06:22:58Z</dcterms:modified>
  <dc:title>丹寨县电气机械器材制造项目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